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EA85" w14:textId="77777777" w:rsidR="002F3C27" w:rsidRPr="002F3C27" w:rsidRDefault="002F3C27" w:rsidP="002F3C27">
      <w:pPr>
        <w:spacing w:after="0" w:line="360" w:lineRule="auto"/>
        <w:ind w:firstLine="567"/>
        <w:contextualSpacing/>
        <w:rPr>
          <w:rStyle w:val="rvts0"/>
          <w:rFonts w:eastAsia="Times New Roman"/>
          <w:sz w:val="28"/>
          <w:lang w:bidi="en-US"/>
        </w:rPr>
      </w:pPr>
      <w:r w:rsidRPr="00A65636">
        <w:rPr>
          <w:rStyle w:val="rvts0"/>
          <w:rFonts w:ascii="Tahoma" w:eastAsia="Times New Roman" w:hAnsi="Tahoma" w:cs="Tahoma"/>
          <w:b/>
          <w:bCs/>
          <w:sz w:val="28"/>
          <w:lang w:bidi="en-US"/>
        </w:rPr>
        <w:t>Підставами для відрахування</w:t>
      </w:r>
      <w:r w:rsidRPr="002F3C27">
        <w:rPr>
          <w:rStyle w:val="rvts0"/>
          <w:rFonts w:eastAsia="Times New Roman"/>
          <w:sz w:val="28"/>
          <w:lang w:bidi="en-US"/>
        </w:rPr>
        <w:t xml:space="preserve"> </w:t>
      </w:r>
      <w:r w:rsidRPr="00A65636">
        <w:rPr>
          <w:rStyle w:val="rvts0"/>
          <w:rFonts w:ascii="Tahoma" w:eastAsia="Times New Roman" w:hAnsi="Tahoma" w:cs="Tahoma"/>
          <w:sz w:val="28"/>
          <w:szCs w:val="28"/>
          <w:lang w:bidi="en-US"/>
        </w:rPr>
        <w:t>здобувача вищої освіти є:</w:t>
      </w:r>
      <w:r w:rsidRPr="002F3C27">
        <w:rPr>
          <w:rStyle w:val="rvts0"/>
          <w:rFonts w:eastAsia="Times New Roman"/>
          <w:sz w:val="28"/>
          <w:lang w:bidi="en-US"/>
        </w:rPr>
        <w:t xml:space="preserve"> </w:t>
      </w:r>
    </w:p>
    <w:p w14:paraId="03EFD613" w14:textId="77777777" w:rsidR="002F3C27" w:rsidRPr="00F85EF0" w:rsidRDefault="002F3C27" w:rsidP="002F3C27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rPr>
          <w:rFonts w:ascii="Tahoma" w:hAnsi="Tahoma" w:cs="Tahoma"/>
          <w:sz w:val="28"/>
        </w:rPr>
      </w:pPr>
      <w:r w:rsidRPr="00F85EF0">
        <w:rPr>
          <w:rStyle w:val="rvts0"/>
          <w:rFonts w:ascii="Tahoma" w:hAnsi="Tahoma" w:cs="Tahoma"/>
          <w:sz w:val="28"/>
        </w:rPr>
        <w:t>завершення навчання за відповідною освітньою (науковою) програмою;</w:t>
      </w:r>
      <w:r w:rsidRPr="00F85EF0">
        <w:rPr>
          <w:rFonts w:ascii="Tahoma" w:hAnsi="Tahoma" w:cs="Tahoma"/>
          <w:sz w:val="28"/>
        </w:rPr>
        <w:t xml:space="preserve"> </w:t>
      </w:r>
      <w:bookmarkStart w:id="0" w:name="_GoBack"/>
      <w:bookmarkEnd w:id="0"/>
    </w:p>
    <w:p w14:paraId="22F43DA4" w14:textId="77777777" w:rsidR="002F3C27" w:rsidRPr="00F85EF0" w:rsidRDefault="002F3C27" w:rsidP="002F3C27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rPr>
          <w:rFonts w:ascii="Tahoma" w:hAnsi="Tahoma" w:cs="Tahoma"/>
          <w:sz w:val="28"/>
        </w:rPr>
      </w:pPr>
      <w:r w:rsidRPr="00F85EF0">
        <w:rPr>
          <w:rFonts w:ascii="Tahoma" w:hAnsi="Tahoma" w:cs="Tahoma"/>
          <w:sz w:val="28"/>
        </w:rPr>
        <w:t>власне бажання;</w:t>
      </w:r>
    </w:p>
    <w:p w14:paraId="0EED92E6" w14:textId="77777777" w:rsidR="002F3C27" w:rsidRPr="00F85EF0" w:rsidRDefault="002F3C27" w:rsidP="002F3C27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rPr>
          <w:rFonts w:ascii="Tahoma" w:hAnsi="Tahoma" w:cs="Tahoma"/>
          <w:sz w:val="28"/>
        </w:rPr>
      </w:pPr>
      <w:r w:rsidRPr="00F85EF0">
        <w:rPr>
          <w:rFonts w:ascii="Tahoma" w:hAnsi="Tahoma" w:cs="Tahoma"/>
          <w:sz w:val="28"/>
        </w:rPr>
        <w:t xml:space="preserve">переведення до іншого навчального закладу; </w:t>
      </w:r>
    </w:p>
    <w:p w14:paraId="4B293E9F" w14:textId="77777777" w:rsidR="002F3C27" w:rsidRPr="00F85EF0" w:rsidRDefault="002F3C27" w:rsidP="002F3C27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rPr>
          <w:rFonts w:ascii="Tahoma" w:hAnsi="Tahoma" w:cs="Tahoma"/>
          <w:sz w:val="28"/>
        </w:rPr>
      </w:pPr>
      <w:r w:rsidRPr="00F85EF0">
        <w:rPr>
          <w:rStyle w:val="rvts0"/>
          <w:rFonts w:ascii="Tahoma" w:hAnsi="Tahoma" w:cs="Tahoma"/>
          <w:sz w:val="28"/>
        </w:rPr>
        <w:t xml:space="preserve">невиконання індивідуального навчального плану; </w:t>
      </w:r>
    </w:p>
    <w:p w14:paraId="08543507" w14:textId="77777777" w:rsidR="002F3C27" w:rsidRPr="00F85EF0" w:rsidRDefault="002F3C27" w:rsidP="002F3C27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rPr>
          <w:rFonts w:ascii="Tahoma" w:hAnsi="Tahoma" w:cs="Tahoma"/>
          <w:sz w:val="28"/>
        </w:rPr>
      </w:pPr>
      <w:r w:rsidRPr="00F85EF0">
        <w:rPr>
          <w:rStyle w:val="rvts0"/>
          <w:rFonts w:ascii="Tahoma" w:hAnsi="Tahoma" w:cs="Tahoma"/>
          <w:sz w:val="28"/>
        </w:rPr>
        <w:t>порушення умов договору (контракту), укладеного між закладом вищої освіти та особою, яка навчається, або фізичною (юридичною) особою, яка оплачує таке навчання;</w:t>
      </w:r>
    </w:p>
    <w:p w14:paraId="21830A2A" w14:textId="77777777" w:rsidR="002F3C27" w:rsidRPr="00F85EF0" w:rsidRDefault="002F3C27" w:rsidP="002F3C27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rPr>
          <w:rFonts w:ascii="Tahoma" w:hAnsi="Tahoma" w:cs="Tahoma"/>
          <w:sz w:val="28"/>
        </w:rPr>
      </w:pPr>
      <w:r w:rsidRPr="00F85EF0">
        <w:rPr>
          <w:rFonts w:ascii="Tahoma" w:hAnsi="Tahoma" w:cs="Tahoma"/>
          <w:sz w:val="28"/>
        </w:rPr>
        <w:t>інші випадки, передбачені законодавством.</w:t>
      </w:r>
    </w:p>
    <w:p w14:paraId="05B1ACB5" w14:textId="77777777" w:rsidR="002F3C27" w:rsidRDefault="002F3C27" w:rsidP="002F3C27">
      <w:pPr>
        <w:pStyle w:val="1"/>
        <w:numPr>
          <w:ilvl w:val="0"/>
          <w:numId w:val="0"/>
        </w:numPr>
        <w:spacing w:line="360" w:lineRule="auto"/>
        <w:ind w:firstLine="567"/>
        <w:contextualSpacing/>
        <w:rPr>
          <w:rFonts w:ascii="Tahoma" w:hAnsi="Tahoma" w:cs="Tahoma"/>
          <w:sz w:val="28"/>
        </w:rPr>
      </w:pPr>
    </w:p>
    <w:p w14:paraId="3B299EB6" w14:textId="0E69A37D" w:rsidR="002F3C27" w:rsidRDefault="002F3C27" w:rsidP="002F3C27">
      <w:pPr>
        <w:pStyle w:val="1"/>
        <w:numPr>
          <w:ilvl w:val="0"/>
          <w:numId w:val="0"/>
        </w:numPr>
        <w:spacing w:line="360" w:lineRule="auto"/>
        <w:ind w:firstLine="567"/>
        <w:contextualSpacing/>
        <w:rPr>
          <w:rFonts w:ascii="Tahoma" w:hAnsi="Tahoma" w:cs="Tahoma"/>
          <w:sz w:val="28"/>
        </w:rPr>
      </w:pPr>
      <w:r w:rsidRPr="002F3C27">
        <w:rPr>
          <w:rFonts w:ascii="Tahoma" w:hAnsi="Tahoma" w:cs="Tahoma"/>
          <w:b/>
          <w:bCs/>
          <w:sz w:val="28"/>
        </w:rPr>
        <w:t>Здобувачі 1-го року навчання</w:t>
      </w:r>
      <w:r>
        <w:rPr>
          <w:rFonts w:ascii="Tahoma" w:hAnsi="Tahoma" w:cs="Tahoma"/>
          <w:sz w:val="28"/>
        </w:rPr>
        <w:t xml:space="preserve"> першого та другого рівнів вищої освіти відраховуються з Університету</w:t>
      </w:r>
      <w:r w:rsidRPr="00463A2E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як такі, що не приступили до навчання, якщо вони були відсутні без поважної причини на заняттях протягом перших 10 днів першого семестру навчання. Проекти наказів на відрахування готуються Приймальною комісією Університету за поданнями факультетів/інститутів.</w:t>
      </w:r>
    </w:p>
    <w:p w14:paraId="4678537C" w14:textId="77777777" w:rsidR="002F3C27" w:rsidRDefault="002F3C27" w:rsidP="002F3C27">
      <w:pPr>
        <w:pStyle w:val="1"/>
        <w:numPr>
          <w:ilvl w:val="0"/>
          <w:numId w:val="0"/>
        </w:numPr>
        <w:spacing w:line="360" w:lineRule="auto"/>
        <w:ind w:firstLine="567"/>
        <w:contextualSpacing/>
        <w:rPr>
          <w:rFonts w:ascii="Tahoma" w:hAnsi="Tahoma" w:cs="Tahoma"/>
          <w:sz w:val="28"/>
        </w:rPr>
      </w:pPr>
    </w:p>
    <w:p w14:paraId="46BA8176" w14:textId="5C2D0727" w:rsidR="002F3C27" w:rsidRPr="00B15EA2" w:rsidRDefault="002F3C27" w:rsidP="002F3C27">
      <w:pPr>
        <w:pStyle w:val="1"/>
        <w:numPr>
          <w:ilvl w:val="0"/>
          <w:numId w:val="0"/>
        </w:numPr>
        <w:spacing w:line="360" w:lineRule="auto"/>
        <w:ind w:firstLine="567"/>
        <w:contextualSpacing/>
        <w:rPr>
          <w:rFonts w:ascii="Tahoma" w:hAnsi="Tahoma" w:cs="Tahoma"/>
          <w:sz w:val="28"/>
        </w:rPr>
      </w:pPr>
      <w:r w:rsidRPr="002F3C27">
        <w:rPr>
          <w:rFonts w:ascii="Tahoma" w:hAnsi="Tahoma" w:cs="Tahoma"/>
          <w:b/>
          <w:bCs/>
          <w:sz w:val="28"/>
        </w:rPr>
        <w:t>Невиконанням здобувачем вищої освіти індивідуального навчального плану</w:t>
      </w:r>
      <w:r w:rsidRPr="00B15EA2">
        <w:rPr>
          <w:rFonts w:ascii="Tahoma" w:hAnsi="Tahoma" w:cs="Tahoma"/>
          <w:sz w:val="28"/>
        </w:rPr>
        <w:t xml:space="preserve"> вважається:</w:t>
      </w:r>
    </w:p>
    <w:p w14:paraId="7C05616F" w14:textId="2ED16F5A" w:rsidR="002F3C27" w:rsidRDefault="002F3C27" w:rsidP="002F3C27">
      <w:pPr>
        <w:pStyle w:val="2"/>
        <w:numPr>
          <w:ilvl w:val="0"/>
          <w:numId w:val="0"/>
        </w:numPr>
        <w:tabs>
          <w:tab w:val="left" w:pos="1134"/>
          <w:tab w:val="left" w:pos="1560"/>
        </w:tabs>
        <w:spacing w:line="360" w:lineRule="auto"/>
        <w:ind w:firstLine="851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о</w:t>
      </w:r>
      <w:r w:rsidRPr="00F85EF0">
        <w:rPr>
          <w:rFonts w:ascii="Tahoma" w:hAnsi="Tahoma" w:cs="Tahoma"/>
          <w:sz w:val="28"/>
          <w:szCs w:val="28"/>
        </w:rPr>
        <w:t xml:space="preserve">тримання </w:t>
      </w:r>
      <w:r>
        <w:rPr>
          <w:rFonts w:ascii="Tahoma" w:hAnsi="Tahoma" w:cs="Tahoma"/>
          <w:sz w:val="28"/>
          <w:szCs w:val="28"/>
        </w:rPr>
        <w:t xml:space="preserve">незадовільних результатів семестрового контролю – </w:t>
      </w:r>
      <w:proofErr w:type="spellStart"/>
      <w:r>
        <w:rPr>
          <w:rFonts w:ascii="Tahoma" w:hAnsi="Tahoma" w:cs="Tahoma"/>
          <w:sz w:val="28"/>
          <w:szCs w:val="28"/>
        </w:rPr>
        <w:t>набрано</w:t>
      </w:r>
      <w:proofErr w:type="spellEnd"/>
      <w:r>
        <w:rPr>
          <w:rFonts w:ascii="Tahoma" w:hAnsi="Tahoma" w:cs="Tahoma"/>
          <w:sz w:val="28"/>
          <w:szCs w:val="28"/>
        </w:rPr>
        <w:t xml:space="preserve"> менше 60 балів за результатами заліку/екзамену (оцінка «незадовільно») або не отримано допуску до семестрового </w:t>
      </w:r>
      <w:r w:rsidRPr="00F85EF0">
        <w:rPr>
          <w:rFonts w:ascii="Tahoma" w:hAnsi="Tahoma" w:cs="Tahoma"/>
          <w:sz w:val="28"/>
          <w:szCs w:val="28"/>
        </w:rPr>
        <w:t xml:space="preserve">контролю хоча б з одного </w:t>
      </w:r>
      <w:r>
        <w:rPr>
          <w:rFonts w:ascii="Tahoma" w:hAnsi="Tahoma" w:cs="Tahoma"/>
          <w:sz w:val="28"/>
          <w:szCs w:val="28"/>
        </w:rPr>
        <w:t>освітнього компоненту</w:t>
      </w:r>
      <w:r w:rsidRPr="00F85EF0">
        <w:rPr>
          <w:rFonts w:ascii="Tahoma" w:hAnsi="Tahoma" w:cs="Tahoma"/>
          <w:sz w:val="28"/>
          <w:szCs w:val="28"/>
        </w:rPr>
        <w:t xml:space="preserve"> у зв´язку з невиконанням вимог рейтингової системи оцінювання</w:t>
      </w:r>
      <w:r>
        <w:rPr>
          <w:rFonts w:ascii="Tahoma" w:hAnsi="Tahoma" w:cs="Tahoma"/>
          <w:sz w:val="28"/>
          <w:szCs w:val="28"/>
        </w:rPr>
        <w:t xml:space="preserve"> (оцінка «не допущено»);</w:t>
      </w:r>
    </w:p>
    <w:p w14:paraId="7577C9CB" w14:textId="77777777" w:rsidR="002F3C27" w:rsidRDefault="002F3C27" w:rsidP="002F3C27">
      <w:pPr>
        <w:pStyle w:val="2"/>
        <w:numPr>
          <w:ilvl w:val="0"/>
          <w:numId w:val="0"/>
        </w:numPr>
        <w:tabs>
          <w:tab w:val="left" w:pos="1134"/>
          <w:tab w:val="left" w:pos="1560"/>
        </w:tabs>
        <w:spacing w:line="360" w:lineRule="auto"/>
        <w:ind w:firstLine="851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о</w:t>
      </w:r>
      <w:r w:rsidRPr="00F85EF0">
        <w:rPr>
          <w:rFonts w:ascii="Tahoma" w:hAnsi="Tahoma" w:cs="Tahoma"/>
          <w:sz w:val="28"/>
          <w:szCs w:val="28"/>
        </w:rPr>
        <w:t xml:space="preserve">тримання незадовільних результатів </w:t>
      </w:r>
      <w:r>
        <w:rPr>
          <w:rFonts w:ascii="Tahoma" w:hAnsi="Tahoma" w:cs="Tahoma"/>
          <w:szCs w:val="28"/>
        </w:rPr>
        <w:t xml:space="preserve">випускної атестації – не подано до захисту </w:t>
      </w:r>
      <w:r w:rsidRPr="006C52C9">
        <w:rPr>
          <w:rFonts w:ascii="Tahoma" w:hAnsi="Tahoma" w:cs="Tahoma"/>
          <w:sz w:val="28"/>
          <w:szCs w:val="28"/>
        </w:rPr>
        <w:t>дипломний проект/роботу, магістерську дисертацію</w:t>
      </w:r>
      <w:r>
        <w:rPr>
          <w:rFonts w:ascii="Tahoma" w:hAnsi="Tahoma" w:cs="Tahoma"/>
          <w:sz w:val="28"/>
          <w:szCs w:val="28"/>
        </w:rPr>
        <w:t>; не отримано допуск до складання державного кваліфікаційного іспиту; отримано менше 60 балів за результатами захисту чи написання іспиту;</w:t>
      </w:r>
    </w:p>
    <w:p w14:paraId="0F85754C" w14:textId="77777777" w:rsidR="002F3C27" w:rsidRDefault="002F3C27" w:rsidP="002F3C27">
      <w:pPr>
        <w:pStyle w:val="2"/>
        <w:numPr>
          <w:ilvl w:val="0"/>
          <w:numId w:val="0"/>
        </w:numPr>
        <w:tabs>
          <w:tab w:val="left" w:pos="851"/>
          <w:tab w:val="left" w:pos="1560"/>
        </w:tabs>
        <w:spacing w:line="360" w:lineRule="auto"/>
        <w:ind w:firstLine="868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- н</w:t>
      </w:r>
      <w:r w:rsidRPr="00F85EF0">
        <w:rPr>
          <w:rFonts w:ascii="Tahoma" w:hAnsi="Tahoma" w:cs="Tahoma"/>
          <w:sz w:val="28"/>
          <w:szCs w:val="28"/>
        </w:rPr>
        <w:t>аявн</w:t>
      </w:r>
      <w:r>
        <w:rPr>
          <w:rFonts w:ascii="Tahoma" w:hAnsi="Tahoma" w:cs="Tahoma"/>
          <w:sz w:val="28"/>
          <w:szCs w:val="28"/>
        </w:rPr>
        <w:t>і</w:t>
      </w:r>
      <w:r w:rsidRPr="00F85EF0">
        <w:rPr>
          <w:rFonts w:ascii="Tahoma" w:hAnsi="Tahoma" w:cs="Tahoma"/>
          <w:sz w:val="28"/>
          <w:szCs w:val="28"/>
        </w:rPr>
        <w:t>ст</w:t>
      </w:r>
      <w:r>
        <w:rPr>
          <w:rFonts w:ascii="Tahoma" w:hAnsi="Tahoma" w:cs="Tahoma"/>
          <w:sz w:val="28"/>
          <w:szCs w:val="28"/>
        </w:rPr>
        <w:t>ь</w:t>
      </w:r>
      <w:r w:rsidRPr="00F85EF0">
        <w:rPr>
          <w:rFonts w:ascii="Tahoma" w:hAnsi="Tahoma" w:cs="Tahoma"/>
          <w:sz w:val="28"/>
          <w:szCs w:val="28"/>
        </w:rPr>
        <w:t xml:space="preserve"> академічної заборгованості після закінчення встановленого терміну її ліквідації</w:t>
      </w:r>
      <w:r>
        <w:rPr>
          <w:rFonts w:ascii="Tahoma" w:hAnsi="Tahoma" w:cs="Tahoma"/>
          <w:sz w:val="28"/>
          <w:szCs w:val="28"/>
        </w:rPr>
        <w:t>;</w:t>
      </w:r>
    </w:p>
    <w:p w14:paraId="519E66B4" w14:textId="1127A09B" w:rsidR="002F3C27" w:rsidRDefault="002F3C27" w:rsidP="002F3C27">
      <w:pPr>
        <w:spacing w:line="360" w:lineRule="auto"/>
        <w:ind w:firstLine="85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незадовільні результати рубіжного контролю (атестації) з трьох і більше освітніх компонентів за результатами двох контролів в семестрі.</w:t>
      </w:r>
    </w:p>
    <w:p w14:paraId="481DA3F8" w14:textId="77777777" w:rsidR="002F3C27" w:rsidRDefault="002F3C27" w:rsidP="002F3C27">
      <w:pPr>
        <w:pStyle w:val="a3"/>
        <w:shd w:val="clear" w:color="auto" w:fill="FFFFFF"/>
        <w:tabs>
          <w:tab w:val="left" w:pos="851"/>
        </w:tabs>
        <w:spacing w:after="0" w:line="360" w:lineRule="auto"/>
        <w:ind w:left="566"/>
        <w:jc w:val="both"/>
        <w:textAlignment w:val="baseline"/>
        <w:rPr>
          <w:rFonts w:ascii="Tahoma" w:hAnsi="Tahoma" w:cs="Tahoma"/>
          <w:szCs w:val="28"/>
        </w:rPr>
      </w:pPr>
    </w:p>
    <w:p w14:paraId="0DEF8C79" w14:textId="39ECAFB6" w:rsidR="002F3C27" w:rsidRPr="00592976" w:rsidRDefault="002F3C27" w:rsidP="002F3C27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851"/>
        <w:jc w:val="both"/>
        <w:textAlignment w:val="baseline"/>
        <w:rPr>
          <w:rFonts w:ascii="Tahoma" w:hAnsi="Tahoma" w:cs="Tahoma"/>
          <w:color w:val="000000"/>
          <w:szCs w:val="28"/>
          <w:lang w:eastAsia="uk-UA"/>
        </w:rPr>
      </w:pPr>
      <w:r w:rsidRPr="00592976">
        <w:rPr>
          <w:rFonts w:ascii="Tahoma" w:hAnsi="Tahoma" w:cs="Tahoma"/>
          <w:szCs w:val="28"/>
        </w:rPr>
        <w:t>Невиконання або порушення строків виконання індивідуального плану наукової роботи без поважних причин, передбачених законодавством, може бути підставою для ухвалення Вченою</w:t>
      </w:r>
      <w:r w:rsidRPr="00592976">
        <w:rPr>
          <w:rFonts w:ascii="Tahoma" w:hAnsi="Tahoma" w:cs="Tahoma"/>
          <w:color w:val="000000"/>
          <w:szCs w:val="28"/>
          <w:lang w:eastAsia="uk-UA"/>
        </w:rPr>
        <w:t xml:space="preserve"> радою університету рішення про </w:t>
      </w:r>
      <w:r w:rsidRPr="002F3C27">
        <w:rPr>
          <w:rFonts w:ascii="Tahoma" w:hAnsi="Tahoma" w:cs="Tahoma"/>
          <w:b/>
          <w:bCs/>
          <w:color w:val="000000"/>
          <w:szCs w:val="28"/>
          <w:lang w:eastAsia="uk-UA"/>
        </w:rPr>
        <w:t>відрахування аспіранта або докторанта</w:t>
      </w:r>
      <w:r w:rsidRPr="00592976">
        <w:rPr>
          <w:rFonts w:ascii="Tahoma" w:hAnsi="Tahoma" w:cs="Tahoma"/>
          <w:color w:val="000000"/>
          <w:szCs w:val="28"/>
          <w:lang w:eastAsia="uk-UA"/>
        </w:rPr>
        <w:t>.</w:t>
      </w:r>
    </w:p>
    <w:p w14:paraId="384904A5" w14:textId="1486CA8D" w:rsidR="002F3C27" w:rsidRDefault="002F3C27" w:rsidP="002F3C27">
      <w:pPr>
        <w:ind w:firstLine="854"/>
        <w:rPr>
          <w:rFonts w:ascii="Tahoma" w:hAnsi="Tahoma" w:cs="Tahoma"/>
          <w:sz w:val="28"/>
          <w:szCs w:val="28"/>
        </w:rPr>
      </w:pPr>
    </w:p>
    <w:p w14:paraId="121536DA" w14:textId="77777777" w:rsidR="002F3C27" w:rsidRDefault="002F3C27" w:rsidP="002F3C27">
      <w:pPr>
        <w:ind w:firstLine="854"/>
        <w:rPr>
          <w:rFonts w:ascii="Tahoma" w:hAnsi="Tahoma" w:cs="Tahoma"/>
          <w:sz w:val="28"/>
          <w:szCs w:val="28"/>
        </w:rPr>
      </w:pPr>
    </w:p>
    <w:sectPr w:rsidR="002F3C27" w:rsidSect="003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EA2"/>
    <w:multiLevelType w:val="multilevel"/>
    <w:tmpl w:val="3940B4E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646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89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8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01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44" w:hanging="2880"/>
      </w:pPr>
      <w:rPr>
        <w:rFonts w:hint="default"/>
        <w:color w:val="auto"/>
      </w:rPr>
    </w:lvl>
  </w:abstractNum>
  <w:abstractNum w:abstractNumId="1" w15:restartNumberingAfterBreak="0">
    <w:nsid w:val="1B1C35EC"/>
    <w:multiLevelType w:val="hybridMultilevel"/>
    <w:tmpl w:val="B4E416DE"/>
    <w:lvl w:ilvl="0" w:tplc="7794D2E8">
      <w:numFmt w:val="bullet"/>
      <w:pStyle w:val="1"/>
      <w:lvlText w:val="–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1" w:tplc="B738861C">
      <w:numFmt w:val="bullet"/>
      <w:pStyle w:val="2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321A"/>
    <w:multiLevelType w:val="hybridMultilevel"/>
    <w:tmpl w:val="228A8BA4"/>
    <w:lvl w:ilvl="0" w:tplc="FDF8B02C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0CF9"/>
    <w:multiLevelType w:val="hybridMultilevel"/>
    <w:tmpl w:val="56D45C40"/>
    <w:lvl w:ilvl="0" w:tplc="5D6C7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C8"/>
    <w:rsid w:val="001507C8"/>
    <w:rsid w:val="001E08C8"/>
    <w:rsid w:val="002D157D"/>
    <w:rsid w:val="002F3C27"/>
    <w:rsid w:val="003263A5"/>
    <w:rsid w:val="008E2D4C"/>
    <w:rsid w:val="00936739"/>
    <w:rsid w:val="00A62DA3"/>
    <w:rsid w:val="00A65636"/>
    <w:rsid w:val="00C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C94"/>
  <w15:chartTrackingRefBased/>
  <w15:docId w15:val="{9898F219-3928-487C-8E5B-9B5DCC5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ер 1"/>
    <w:basedOn w:val="a"/>
    <w:qFormat/>
    <w:rsid w:val="002F3C27"/>
    <w:pPr>
      <w:numPr>
        <w:numId w:val="1"/>
      </w:numPr>
      <w:tabs>
        <w:tab w:val="clear" w:pos="1010"/>
        <w:tab w:val="num" w:pos="851"/>
      </w:tabs>
      <w:spacing w:after="0" w:line="264" w:lineRule="auto"/>
      <w:ind w:left="851" w:hanging="284"/>
      <w:jc w:val="both"/>
    </w:pPr>
    <w:rPr>
      <w:rFonts w:ascii="Times New Roman" w:eastAsia="Times New Roman" w:hAnsi="Times New Roman" w:cs="Times New Roman"/>
      <w:sz w:val="26"/>
      <w:szCs w:val="28"/>
      <w:lang w:bidi="en-US"/>
    </w:rPr>
  </w:style>
  <w:style w:type="paragraph" w:customStyle="1" w:styleId="2">
    <w:name w:val="Маркер 2"/>
    <w:basedOn w:val="1"/>
    <w:qFormat/>
    <w:rsid w:val="002F3C27"/>
    <w:pPr>
      <w:numPr>
        <w:ilvl w:val="1"/>
      </w:numPr>
    </w:pPr>
    <w:rPr>
      <w:szCs w:val="26"/>
    </w:rPr>
  </w:style>
  <w:style w:type="character" w:customStyle="1" w:styleId="rvts0">
    <w:name w:val="rvts0"/>
    <w:basedOn w:val="a0"/>
    <w:rsid w:val="002F3C27"/>
  </w:style>
  <w:style w:type="paragraph" w:styleId="a3">
    <w:name w:val="List Paragraph"/>
    <w:basedOn w:val="a"/>
    <w:uiPriority w:val="34"/>
    <w:qFormat/>
    <w:rsid w:val="002F3C27"/>
    <w:pPr>
      <w:spacing w:after="200" w:line="276" w:lineRule="auto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1233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2020-02-19T21:14:00Z</dcterms:created>
  <dcterms:modified xsi:type="dcterms:W3CDTF">2020-03-12T18:52:00Z</dcterms:modified>
</cp:coreProperties>
</file>